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231 vom 30. Oktober 1987</w:t>
      </w:r>
    </w:p>
    <w:p>
      <w:r>
        <w:t>Bundesgericht (BGE), 1987-10-30, DE</w:t>
      </w:r>
    </w:p>
    <w:p>
      <w:r>
        <w:rPr>
          <w:b/>
        </w:rPr>
        <w:t xml:space="preserve">Quelle: </w:t>
      </w:r>
      <w:r>
        <w:t>https://mcp.opencaselaw.ch/entscheid/bge_115 IA 231</w:t>
      </w:r>
    </w:p>
    <w:p>
      <w:r>
        <w:t>FR: BGE 115 IA 231 du 30 octobre 1987</w:t>
      </w:r>
    </w:p>
    <w:p>
      <w:r>
        <w:t>IT: BGE 115 IA 231 del 30 ottobre 1987</w:t>
      </w:r>
    </w:p>
    <w:p>
      <w:pPr>
        <w:pStyle w:val="Heading2"/>
      </w:pPr>
      <w:r>
        <w:t>Regeste</w:t>
      </w:r>
    </w:p>
    <w:p>
      <w:r>
        <w:t>Regeste Art. 2 ÜbBest. BV; Verhältnis zwischen Bundesraumplanungsrecht und kantonalem Recht bei der Anordnung von Planungszonen zum Schutze des Kulturlandes. Art. 16 RPG beschränkt die Kantone nicht darauf, nur das für die Sicherung einer ausreichenden Versorgungsbasis notwendige Land den Landwirtschaftszonen zuzuweisen. Die Kantone können daher durch die Vorschriften der Raumplanungsverordnung nicht daran gehindert werden, bei der Nutzungsplanung und bei deren Sicherung durch Planungszonen über dieses Mindestmass hinauszugehen (E. 4).</w:t>
      </w:r>
    </w:p>
    <w:p>
      <w:pPr>
        <w:pStyle w:val="Heading2"/>
      </w:pPr>
      <w:r>
        <w:t>Erwägungen</w:t>
      </w:r>
    </w:p>
    <w:p>
      <w:r>
        <w:rPr>
          <w:b/>
        </w:rPr>
        <w:t>E. 4</w:t>
      </w:r>
    </w:p>
    <w:p>
      <w:r>
        <w:t>Schliesslich sind die Beschwerdeführer der Auffassung, der angefochtene Entscheid beruhe zwar wohl an sich auf einer ausreichenden kantonalen gesetzlichen Grundlage. Da die Gesetzgebungskompetenz auf dem Gebiet des Raumplanungsrechts indessen ausschliesslich beim Bund liege, der in Art. 15 Abs. 2 der Verordnung über die Raumplanung vom 26. März 1986 (RPV) die Anordnung von Planungszonen zur Kulturlandsicherung innerhalb von Bauzonen nur für unerschlossenes Land vorsehe, bleibe für die abweichende Praxis des Kantons Bern kein Raum. Auch dieses Vorbringen gegen den angefochtenen Entscheid, das der Sache nach auf die Rüge einer Verletzung von Art. 2 ÜbBest. BV hinausläuft, ist unbegründet. Man kann sich fragen, ob die Praxis des Kantons Bern bei der Anordnung von Planungszonen zur Kulturlandsicherung über Art. 15 Abs. 2 RPV hinausgeht und, falls ja, welche Konsequenzen dies auf den vorliegend BGE 115 Ia 231 S. 233 zu beurteilenden Fall hätte. (...) Ungeachtet der Antwort auf diese Fragen ist die Rüge indessen bereits aus folgendem Grund abzuweisen: Das RPG als Grundsatzgesetz gemäss Art. 22quater Abs. 1 BV schliesst eigenständiges kantonales Planungs- und Baurecht nicht aus; es geht vielmehr davon aus, dass solches bestehe. Das RPG will das Instrumentarium zur Sicherstellung der zweckmässigen Nutzung des Bodens und der geordneten Besiedlung des Landes in den Grundzügen verbindlich festlegen, die Raumplanung jedoch nicht erschöpfend ordnen (ZBl 86/1985 325 E. 4 mit Hinweisen). Im dargelegten Sinn schreibt die RPV den Kantonen vor, in Befolgung des Planungsziels der Erhaltung des Kulturlandes als Existenzgrundlage der Landwirtschaft ( Art. 1 Abs. 2 lit. d, Art. 3 Abs. 2 lit. a, Art. 6 Abs. 2 lit. a RPG ) dafür zu sorgen, dass ausreichende Kulturlandflächen planungsrechtlich gegen Präjudizierungen gesichert werden und anschliessend ihrer definitiven Nutzungsbestimmung als Landwirtschaftsfläche zugeführt werden. Weil Art. 16 RPG die Kantone indessen nicht darauf beschränkt, lediglich das für die Sicherung der Existenzgrundlage notwendige Land den Landwirtschaftszonen zuzuweisen, können die Kantone auch durch die RPV nicht daran gehindert werden, bei der Nutzungsplanung und bei deren Sicherung durch Planungszonen über dieses Minimum hinauszugehen. Verfügt daher ein Kanton über eine ausreichende gesetzliche Grundlage, um auch die in Art. 15 Abs. 2 RPV nicht erwähnten erschlossenen Flächen in Bauzonen gegen Präjudizierungen zu sichern - und davon gehen im vorliegenden Fall die Beschwerdeführer selbst aus - so verstösst er damit nicht gegen Art. 2 ÜbBest.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